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jc w:val="center"/>
        <w:tblLook w:firstColumn="1" w:firstRow="1" w:lastColumn="0" w:lastRow="0" w:noHBand="0" w:noVBand="1" w:val="04A0"/>
      </w:tblPr>
      <w:tblGrid>
        <w:gridCol w:w="9406"/>
      </w:tblGrid>
      <w:tr>
        <w:trPr>
          <w:trHeight w:val="1474" w:hRule="exact"/>
        </w:trPr>
        <w:tc>
          <w:tcPr>
            <w:tcW w:type="dxa" w:w="9406"/>
            <w:shd w:val="clear" w:color="auto" w:fill="1F2D54"/>
          </w:tcPr>
          <w:p>
            <w:pPr>
              <w:jc w:val="center"/>
            </w:pPr>
            <w:r>
              <w:rPr>
                <w:rFonts w:ascii="Calibri" w:hAnsi="Calibri"/>
                <w:b/>
                <w:color w:val="FFFFFF"/>
                <w:sz w:val="44"/>
              </w:rPr>
              <w:t>EXCEL AUTOMATION CASE STUDY</w:t>
            </w:r>
          </w:p>
        </w:tc>
      </w:tr>
      <w:tr>
        <w:trPr>
          <w:trHeight w:val="567" w:hRule="exact"/>
        </w:trPr>
        <w:tc>
          <w:tcPr>
            <w:tcW w:type="dxa" w:w="9406"/>
            <w:shd w:val="clear" w:color="auto" w:fill="2E4272"/>
          </w:tcPr>
          <w:p>
            <w:pPr>
              <w:jc w:val="center"/>
            </w:pPr>
            <w:r>
              <w:rPr>
                <w:rFonts w:ascii="Calibri" w:hAnsi="Calibri"/>
                <w:i/>
                <w:color w:val="D6E4F7"/>
                <w:sz w:val="24"/>
              </w:rPr>
              <w:t>Import Cost Calculator — Automated Landed Cost Engine &amp; Pricing System v2</w:t>
            </w:r>
          </w:p>
        </w:tc>
      </w:tr>
      <w:tr>
        <w:trPr>
          <w:trHeight w:val="396" w:hRule="exact"/>
        </w:trPr>
        <w:tc>
          <w:tcPr>
            <w:tcW w:type="dxa" w:w="9406"/>
            <w:shd w:val="clear" w:color="auto" w:fill="3A6EC2"/>
          </w:tcPr>
          <w:p>
            <w:pPr>
              <w:jc w:val="center"/>
            </w:pPr>
            <w:r>
              <w:rPr>
                <w:rFonts w:ascii="Calibri" w:hAnsi="Calibri"/>
                <w:color w:val="FFFFFF"/>
                <w:sz w:val="18"/>
              </w:rPr>
              <w:t>Version 2.0  |  Updated &amp; Enhanced  |  Excel Automation  |  International Trade / Import-Export</w:t>
            </w:r>
          </w:p>
        </w:tc>
      </w:tr>
    </w:tbl>
    <w:p/>
    <w:tbl>
      <w:tblPr>
        <w:tblStyle w:val="TableGrid"/>
        <w:tblW w:type="auto" w:w="0"/>
        <w:jc w:val="center"/>
        <w:tblLook w:firstColumn="1" w:firstRow="1" w:lastColumn="0" w:lastRow="0" w:noHBand="0" w:noVBand="1" w:val="04A0"/>
      </w:tblPr>
      <w:tblGrid>
        <w:gridCol w:w="4703"/>
        <w:gridCol w:w="4703"/>
      </w:tblGrid>
      <w:tr>
        <w:tc>
          <w:tcPr>
            <w:tcW w:type="dxa" w:w="4703"/>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Field</w:t>
            </w:r>
          </w:p>
        </w:tc>
        <w:tc>
          <w:tcPr>
            <w:tcW w:type="dxa" w:w="4703"/>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Detail</w:t>
            </w:r>
          </w:p>
        </w:tc>
      </w:tr>
      <w:tr>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Project Type</w:t>
            </w:r>
          </w:p>
        </w:tc>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Excel Automation — Consulting Portfolio Case Study</w:t>
            </w:r>
          </w:p>
        </w:tc>
      </w:tr>
      <w:tr>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Industry</w:t>
            </w:r>
          </w:p>
        </w:tc>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International Trade / Import-Export (Food &amp; Beverage)</w:t>
            </w:r>
          </w:p>
        </w:tc>
      </w:tr>
      <w:tr>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Tools Used</w:t>
            </w:r>
          </w:p>
        </w:tc>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Microsoft Excel — Advanced Formulas, Structured Tables, Charts, Data Validation</w:t>
            </w:r>
          </w:p>
        </w:tc>
      </w:tr>
      <w:tr>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Complexity</w:t>
            </w:r>
          </w:p>
        </w:tc>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Intermediate–Advanced</w:t>
            </w:r>
          </w:p>
        </w:tc>
      </w:tr>
      <w:tr>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Version</w:t>
            </w:r>
          </w:p>
        </w:tc>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v2.0 — Enhanced with FX Layer, Scenario Analysis, Shipment Allocation</w:t>
            </w:r>
          </w:p>
        </w:tc>
      </w:tr>
      <w:tr>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Products</w:t>
            </w:r>
          </w:p>
        </w:tc>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 SKUs across 8 countries (Italy, UAE, Spain, France, Germany, USA, Colombia, India)</w:t>
            </w:r>
          </w:p>
        </w:tc>
      </w:tr>
    </w:tbl>
    <w:p/>
    <w:p>
      <w:pPr>
        <w:spacing w:before="280" w:after="80"/>
        <w:shd w:val="clear" w:color="auto" w:fill="1F2D54"/>
      </w:pPr>
      <w:r>
        <w:rPr>
          <w:rFonts w:ascii="Calibri" w:hAnsi="Calibri"/>
          <w:b/>
          <w:color w:val="FFFFFF"/>
          <w:sz w:val="24"/>
        </w:rPr>
        <w:t xml:space="preserve">  1. PROJECT OVERVIEW  </w:t>
      </w:r>
    </w:p>
    <w:p>
      <w:pPr>
        <w:spacing w:before="40" w:after="80"/>
        <w:ind w:firstLine="0"/>
      </w:pPr>
      <w:r>
        <w:rPr>
          <w:rFonts w:ascii="Calibri" w:hAnsi="Calibri"/>
          <w:color w:val="2C3E50"/>
          <w:sz w:val="21"/>
        </w:rPr>
        <w:t>This case study presents a fully automated Excel-based system (version 2.0) designed to calculate the complete landed cost of imported products and generate suggested sale prices with configurable target margins. Rebuilt for consultancy-level presentation, the tool eliminates manual calculation errors, ensures formula consistency, and provides real-time visibility across multiple currencies, shipment cost allocations, and scenario analyses — all without VBA macros.</w:t>
      </w:r>
    </w:p>
    <w:p>
      <w:pPr>
        <w:spacing w:before="40" w:after="80"/>
        <w:ind w:firstLine="0"/>
      </w:pPr>
      <w:r>
        <w:rPr>
          <w:rFonts w:ascii="Calibri" w:hAnsi="Calibri"/>
          <w:color w:val="2C3E50"/>
          <w:sz w:val="21"/>
        </w:rPr>
        <w:t>The v2.0 model introduces four major professional upgrades: a Currency Conversion Layer, a Multi-Product Shipment Allocation Engine, a What-If Scenario Analysis module, and an enhanced Executive Dashboard with Top 3 analysis, cost driver breakdown, and scenario impact strips.</w:t>
      </w:r>
    </w:p>
    <w:p>
      <w:pPr>
        <w:spacing w:before="280" w:after="80"/>
        <w:shd w:val="clear" w:color="auto" w:fill="1F2D54"/>
      </w:pPr>
      <w:r>
        <w:rPr>
          <w:rFonts w:ascii="Calibri" w:hAnsi="Calibri"/>
          <w:b/>
          <w:color w:val="FFFFFF"/>
          <w:sz w:val="24"/>
        </w:rPr>
        <w:t xml:space="preserve">  2. BUSINESS PROBLEM  </w:t>
      </w:r>
    </w:p>
    <w:p>
      <w:pPr>
        <w:spacing w:before="40" w:after="80"/>
        <w:ind w:firstLine="0"/>
      </w:pPr>
      <w:r>
        <w:rPr>
          <w:rFonts w:ascii="Calibri" w:hAnsi="Calibri"/>
          <w:color w:val="2C3E50"/>
          <w:sz w:val="21"/>
        </w:rPr>
        <w:t>Import operations across multiple sourcing countries created compounding financial risks when managed via manual spreadsheets. The original process suffered from five critical failure points:</w:t>
      </w:r>
    </w:p>
    <w:p>
      <w:pPr>
        <w:spacing w:before="20" w:after="20"/>
      </w:pPr>
      <w:r>
        <w:rPr>
          <w:rFonts w:ascii="Calibri" w:hAnsi="Calibri"/>
          <w:b/>
          <w:color w:val="E74C3C"/>
          <w:sz w:val="21"/>
        </w:rPr>
        <w:t xml:space="preserve">  ✗  Underpriced Products: </w:t>
      </w:r>
      <w:r>
        <w:rPr>
          <w:rFonts w:ascii="Calibri" w:hAnsi="Calibri"/>
          <w:color w:val="2C3E50"/>
          <w:sz w:val="21"/>
        </w:rPr>
        <w:t>Insufficient margin coverage due to missing cost components</w:t>
      </w:r>
    </w:p>
    <w:p>
      <w:pPr>
        <w:spacing w:before="20" w:after="20"/>
      </w:pPr>
      <w:r>
        <w:rPr>
          <w:rFonts w:ascii="Calibri" w:hAnsi="Calibri"/>
          <w:b/>
          <w:color w:val="E74C3C"/>
          <w:sz w:val="21"/>
        </w:rPr>
        <w:t xml:space="preserve">  ✗  Currency Blind Spots: </w:t>
      </w:r>
      <w:r>
        <w:rPr>
          <w:rFonts w:ascii="Calibri" w:hAnsi="Calibri"/>
          <w:color w:val="2C3E50"/>
          <w:sz w:val="21"/>
        </w:rPr>
        <w:t>FOB prices in EUR, AED, INR entered inconsistently in USD</w:t>
      </w:r>
    </w:p>
    <w:p>
      <w:pPr>
        <w:spacing w:before="20" w:after="20"/>
      </w:pPr>
      <w:r>
        <w:rPr>
          <w:rFonts w:ascii="Calibri" w:hAnsi="Calibri"/>
          <w:b/>
          <w:color w:val="E74C3C"/>
          <w:sz w:val="21"/>
        </w:rPr>
        <w:t xml:space="preserve">  ✗  Shipment Cost Distortion: </w:t>
      </w:r>
      <w:r>
        <w:rPr>
          <w:rFonts w:ascii="Calibri" w:hAnsi="Calibri"/>
          <w:color w:val="2C3E50"/>
          <w:sz w:val="21"/>
        </w:rPr>
        <w:t>Fixed clearance costs not allocated per-unit across products</w:t>
      </w:r>
    </w:p>
    <w:p>
      <w:pPr>
        <w:spacing w:before="20" w:after="20"/>
      </w:pPr>
      <w:r>
        <w:rPr>
          <w:rFonts w:ascii="Calibri" w:hAnsi="Calibri"/>
          <w:b/>
          <w:color w:val="E74C3C"/>
          <w:sz w:val="21"/>
        </w:rPr>
        <w:t xml:space="preserve">  ✗  No Scenario Planning: </w:t>
      </w:r>
      <w:r>
        <w:rPr>
          <w:rFonts w:ascii="Calibri" w:hAnsi="Calibri"/>
          <w:color w:val="2C3E50"/>
          <w:sz w:val="21"/>
        </w:rPr>
        <w:t>Inability to model freight or duty rate changes before decisions</w:t>
      </w:r>
    </w:p>
    <w:p>
      <w:pPr>
        <w:spacing w:before="20" w:after="20"/>
      </w:pPr>
      <w:r>
        <w:rPr>
          <w:rFonts w:ascii="Calibri" w:hAnsi="Calibri"/>
          <w:b/>
          <w:color w:val="E74C3C"/>
          <w:sz w:val="21"/>
        </w:rPr>
        <w:t xml:space="preserve">  ✗  Slow Rate Updates: </w:t>
      </w:r>
      <w:r>
        <w:rPr>
          <w:rFonts w:ascii="Calibri" w:hAnsi="Calibri"/>
          <w:color w:val="2C3E50"/>
          <w:sz w:val="21"/>
        </w:rPr>
        <w:t>30–60 minutes to recalculate when a single parameter changed</w:t>
      </w:r>
    </w:p>
    <w:p>
      <w:pPr>
        <w:spacing w:before="280" w:after="80"/>
        <w:shd w:val="clear" w:color="auto" w:fill="1F2D54"/>
      </w:pPr>
      <w:r>
        <w:rPr>
          <w:rFonts w:ascii="Calibri" w:hAnsi="Calibri"/>
          <w:b/>
          <w:color w:val="FFFFFF"/>
          <w:sz w:val="24"/>
        </w:rPr>
        <w:t xml:space="preserve">  3. DATASET DESCRIPTION  </w:t>
      </w:r>
    </w:p>
    <w:p>
      <w:pPr>
        <w:spacing w:before="40" w:after="80"/>
        <w:ind w:firstLine="0"/>
      </w:pPr>
      <w:r>
        <w:rPr>
          <w:rFonts w:ascii="Calibri" w:hAnsi="Calibri"/>
          <w:color w:val="2C3E50"/>
          <w:sz w:val="21"/>
        </w:rPr>
        <w:t>The model covers 10 food &amp; beverage products sourced from 8 countries, each with a distinct FOB currency. The dataset is stored in the structured PRODUCTS table and serves as the single source of truth for all downstream calculations.</w:t>
      </w:r>
    </w:p>
    <w:tbl>
      <w:tblPr>
        <w:tblStyle w:val="TableGrid"/>
        <w:tblW w:type="auto" w:w="0"/>
        <w:jc w:val="center"/>
        <w:tblLook w:firstColumn="1" w:firstRow="1" w:lastColumn="0" w:lastRow="0" w:noHBand="0" w:noVBand="1" w:val="04A0"/>
      </w:tblPr>
      <w:tblGrid>
        <w:gridCol w:w="1344"/>
        <w:gridCol w:w="1344"/>
        <w:gridCol w:w="1344"/>
        <w:gridCol w:w="1344"/>
        <w:gridCol w:w="1344"/>
        <w:gridCol w:w="1344"/>
        <w:gridCol w:w="1344"/>
      </w:tblGrid>
      <w:tr>
        <w:tc>
          <w:tcPr>
            <w:tcW w:type="dxa" w:w="1344"/>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Product ID</w:t>
            </w:r>
          </w:p>
        </w:tc>
        <w:tc>
          <w:tcPr>
            <w:tcW w:type="dxa" w:w="1344"/>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Product Name</w:t>
            </w:r>
          </w:p>
        </w:tc>
        <w:tc>
          <w:tcPr>
            <w:tcW w:type="dxa" w:w="1344"/>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Origin</w:t>
            </w:r>
          </w:p>
        </w:tc>
        <w:tc>
          <w:tcPr>
            <w:tcW w:type="dxa" w:w="1344"/>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FOB Currency</w:t>
            </w:r>
          </w:p>
        </w:tc>
        <w:tc>
          <w:tcPr>
            <w:tcW w:type="dxa" w:w="1344"/>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FOB (Local)</w:t>
            </w:r>
          </w:p>
        </w:tc>
        <w:tc>
          <w:tcPr>
            <w:tcW w:type="dxa" w:w="1344"/>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Weight (kg)</w:t>
            </w:r>
          </w:p>
        </w:tc>
        <w:tc>
          <w:tcPr>
            <w:tcW w:type="dxa" w:w="1344"/>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Volume (CBM)</w:t>
            </w:r>
          </w:p>
        </w:tc>
      </w:tr>
      <w:tr>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P001</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Sparkling Beverage</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Italy</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1.80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0.75</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0.002</w:t>
            </w:r>
          </w:p>
        </w:tc>
      </w:tr>
      <w:tr>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P002</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Premium Chocolate</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UAE</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AED</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3.50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0.40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0.001</w:t>
            </w:r>
          </w:p>
        </w:tc>
      </w:tr>
      <w:tr>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P003</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Italian Cookies</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Italy</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2.20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0.50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0.002</w:t>
            </w:r>
          </w:p>
        </w:tc>
      </w:tr>
      <w:tr>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P004</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Organic Olive Oil</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Spain</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5.80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0.003</w:t>
            </w:r>
          </w:p>
        </w:tc>
      </w:tr>
      <w:tr>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P005</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Gourmet Sauce</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France</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4.10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0.70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0.002</w:t>
            </w:r>
          </w:p>
        </w:tc>
      </w:tr>
      <w:tr>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P006</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Energy Drink</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Germany</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1.40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0.50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0.002</w:t>
            </w:r>
          </w:p>
        </w:tc>
      </w:tr>
      <w:tr>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P007</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Protein Bar</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USA</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USD</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2.00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0.20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0.001</w:t>
            </w:r>
          </w:p>
        </w:tc>
      </w:tr>
      <w:tr>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P008</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Mineral Water</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Italy</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0.90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0.003</w:t>
            </w:r>
          </w:p>
        </w:tc>
      </w:tr>
      <w:tr>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P009</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Coffee Capsules</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Colombia</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USD</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3.80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0.30</w:t>
            </w:r>
          </w:p>
        </w:tc>
        <w:tc>
          <w:tcPr>
            <w:tcW w:type="dxa" w:w="1344"/>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0.001</w:t>
            </w:r>
          </w:p>
        </w:tc>
      </w:tr>
      <w:tr>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P010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Organic Tea</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India</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INR</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1.60</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0.25</w:t>
            </w:r>
          </w:p>
        </w:tc>
        <w:tc>
          <w:tcPr>
            <w:tcW w:type="dxa" w:w="1344"/>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0.001</w:t>
            </w:r>
          </w:p>
        </w:tc>
      </w:tr>
    </w:tbl>
    <w:p/>
    <w:p>
      <w:pPr>
        <w:spacing w:before="280" w:after="80"/>
        <w:shd w:val="clear" w:color="auto" w:fill="1F2D54"/>
      </w:pPr>
      <w:r>
        <w:rPr>
          <w:rFonts w:ascii="Calibri" w:hAnsi="Calibri"/>
          <w:b/>
          <w:color w:val="FFFFFF"/>
          <w:sz w:val="24"/>
        </w:rPr>
        <w:t xml:space="preserve">  4. EXCEL ARCHITECTURE V2 — 8-SHEET MODEL  </w:t>
      </w:r>
    </w:p>
    <w:p>
      <w:pPr>
        <w:spacing w:before="40" w:after="80"/>
        <w:ind w:firstLine="0"/>
      </w:pPr>
      <w:r>
        <w:rPr>
          <w:rFonts w:ascii="Calibri" w:hAnsi="Calibri"/>
          <w:color w:val="2C3E50"/>
          <w:sz w:val="21"/>
        </w:rPr>
        <w:t>The v2 model is built on an expanded eight-sheet architecture that maintains strict separation between data input, configuration, calculation, and reporting layers:</w:t>
      </w:r>
    </w:p>
    <w:tbl>
      <w:tblPr>
        <w:tblStyle w:val="TableGrid"/>
        <w:tblW w:type="auto" w:w="0"/>
        <w:jc w:val="center"/>
        <w:tblLook w:firstColumn="1" w:firstRow="1" w:lastColumn="0" w:lastRow="0" w:noHBand="0" w:noVBand="1" w:val="04A0"/>
      </w:tblPr>
      <w:tblGrid>
        <w:gridCol w:w="3135"/>
        <w:gridCol w:w="3135"/>
        <w:gridCol w:w="3135"/>
      </w:tblGrid>
      <w:tr>
        <w:tc>
          <w:tcPr>
            <w:tcW w:type="dxa" w:w="3135"/>
            <w:shd w:val="clear" w:color="auto" w:fill="1F2D54"/>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Sheet</w:t>
            </w:r>
          </w:p>
        </w:tc>
        <w:tc>
          <w:tcPr>
            <w:tcW w:type="dxa" w:w="3135"/>
            <w:shd w:val="clear" w:color="auto" w:fill="1F2D54"/>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Layer</w:t>
            </w:r>
          </w:p>
        </w:tc>
        <w:tc>
          <w:tcPr>
            <w:tcW w:type="dxa" w:w="3135"/>
            <w:shd w:val="clear" w:color="auto" w:fill="1F2D54"/>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Purpose</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PRODUCTS</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Master Data Input</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 products with FOB currency field; FX auto-conversion formula</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IMPORT_COST_PARAMETERS</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Global Configuration</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7 rate parameters — single-change propagation across all sheets</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FX_RATES</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Currency Layer</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VLOOKUP-driven FOB conversion for USD, EUR, AED, INR, GBP, CAD</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SHIPMENT_ASSUMPTIONS</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Cost Allocation</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Fixed cost allocation engine; per-unit clearance by shipment share</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IMPORT_CALCULATOR</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Core Engine</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13-column landed cost calculator with clearance allocation column</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PRICING_ENGINE</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Pricing Output</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Sale price, gross profit, actual margin, markup % per product</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SCENARIO_ANALYSIS</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What-If Modeling</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 scenarios × 10 products with delta comparison vs Base</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DASHBOARD</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Executive Reporting</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KPI cards, 3 charts, Top 3, cost drivers, scenario impact strip</w:t>
            </w:r>
          </w:p>
        </w:tc>
      </w:tr>
    </w:tbl>
    <w:p/>
    <w:p>
      <w:pPr>
        <w:spacing w:before="280" w:after="80"/>
        <w:shd w:val="clear" w:color="auto" w:fill="1F2D54"/>
      </w:pPr>
      <w:r>
        <w:rPr>
          <w:rFonts w:ascii="Calibri" w:hAnsi="Calibri"/>
          <w:b/>
          <w:color w:val="FFFFFF"/>
          <w:sz w:val="24"/>
        </w:rPr>
        <w:t xml:space="preserve">  5. AUTOMATION LOGIC  </w:t>
      </w:r>
    </w:p>
    <w:p>
      <w:pPr>
        <w:spacing w:before="160" w:after="40"/>
      </w:pPr>
      <w:r>
        <w:rPr>
          <w:rFonts w:ascii="Calibri" w:hAnsi="Calibri"/>
          <w:b/>
          <w:color w:val="1F2D54"/>
          <w:sz w:val="22"/>
        </w:rPr>
        <w:t>▶  5.1 — Centralized Parameter Control</w:t>
      </w:r>
    </w:p>
    <w:p>
      <w:pPr>
        <w:spacing w:before="40" w:after="80"/>
        <w:ind w:firstLine="0"/>
      </w:pPr>
      <w:r>
        <w:rPr>
          <w:rFonts w:ascii="Calibri" w:hAnsi="Calibri"/>
          <w:color w:val="2C3E50"/>
          <w:sz w:val="21"/>
        </w:rPr>
        <w:t>All seven global rates (freight, insurance, duty, VAT, port handling, clearance fixed cost, and target margin) reside in IMPORT_COST_PARAMETERS. Every formula across the workbook references these cells with absolute addressing ($B$4, $B$5, etc.), so updating a single value propagates instantly across all 10 products, 3 scenarios, and the dashboard.</w:t>
      </w:r>
    </w:p>
    <w:p>
      <w:pPr>
        <w:spacing w:before="160" w:after="40"/>
      </w:pPr>
      <w:r>
        <w:rPr>
          <w:rFonts w:ascii="Calibri" w:hAnsi="Calibri"/>
          <w:b/>
          <w:color w:val="1F2D54"/>
          <w:sz w:val="22"/>
        </w:rPr>
        <w:t>▶  5.2 — Structured Table References (ListObjects)</w:t>
      </w:r>
    </w:p>
    <w:p>
      <w:pPr>
        <w:spacing w:before="40" w:after="80"/>
        <w:ind w:firstLine="0"/>
      </w:pPr>
      <w:r>
        <w:rPr>
          <w:rFonts w:ascii="Calibri" w:hAnsi="Calibri"/>
          <w:color w:val="2C3E50"/>
          <w:sz w:val="21"/>
        </w:rPr>
        <w:t>The PRODUCTS sheet uses a named Excel Table (tblProducts). Column-reference formulas ([@FOB Price]) automatically extend when new products are added, eliminating the need to manually copy formulas or adjust chart ranges.</w:t>
      </w:r>
    </w:p>
    <w:p>
      <w:pPr>
        <w:spacing w:before="160" w:after="40"/>
      </w:pPr>
      <w:r>
        <w:rPr>
          <w:rFonts w:ascii="Calibri" w:hAnsi="Calibri"/>
          <w:b/>
          <w:color w:val="1F2D54"/>
          <w:sz w:val="22"/>
        </w:rPr>
        <w:t>▶  5.3 — Cross-Sheet Formula Chain</w:t>
      </w:r>
    </w:p>
    <w:p>
      <w:pPr>
        <w:spacing w:before="40" w:after="80"/>
        <w:ind w:firstLine="0"/>
      </w:pPr>
      <w:r>
        <w:rPr>
          <w:rFonts w:ascii="Calibri" w:hAnsi="Calibri"/>
          <w:color w:val="2C3E50"/>
          <w:sz w:val="21"/>
        </w:rPr>
        <w:t>Data flows through a strict chain: FX_RATES → PRODUCTS → SHIPMENT_ASSUMPTIONS → IMPORT_CALCULATOR → PRICING_ENGINE → DASHBOARD. No values are hard-coded outside their originating sheet, ensuring zero data duplication and full auditability.</w:t>
      </w:r>
    </w:p>
    <w:p>
      <w:pPr>
        <w:spacing w:before="280" w:after="80"/>
        <w:shd w:val="clear" w:color="auto" w:fill="1F2D54"/>
      </w:pPr>
      <w:r>
        <w:rPr>
          <w:rFonts w:ascii="Calibri" w:hAnsi="Calibri"/>
          <w:b/>
          <w:color w:val="FFFFFF"/>
          <w:sz w:val="24"/>
        </w:rPr>
        <w:t xml:space="preserve">  6. KEY FORMULAS USED  </w:t>
      </w:r>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FOB USD (Currency Conversion):  </w:t>
            </w:r>
            <w:r>
              <w:rPr>
                <w:rFonts w:ascii="Courier New" w:hAnsi="Courier New"/>
                <w:color w:val="ECF0F1"/>
                <w:sz w:val="20"/>
              </w:rPr>
              <w:t>=E4 * VLOOKUP(D4, FX_RATES!$A:$B, 2, 0)</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Clearance Cost per Unit:  </w:t>
            </w:r>
            <w:r>
              <w:rPr>
                <w:rFonts w:ascii="Courier New" w:hAnsi="Courier New"/>
                <w:color w:val="ECF0F1"/>
                <w:sz w:val="20"/>
              </w:rPr>
              <w:t>=Custom_Clearance / Units_per_Shipment</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Shipment Share %:  </w:t>
            </w:r>
            <w:r>
              <w:rPr>
                <w:rFonts w:ascii="Courier New" w:hAnsi="Courier New"/>
                <w:color w:val="ECF0F1"/>
                <w:sz w:val="20"/>
              </w:rPr>
              <w:t>=C13 / $B$5   [units per product / total units]</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Freight Cost:  </w:t>
            </w:r>
            <w:r>
              <w:rPr>
                <w:rFonts w:ascii="Courier New" w:hAnsi="Courier New"/>
                <w:color w:val="ECF0F1"/>
                <w:sz w:val="20"/>
              </w:rPr>
              <w:t>=Volume_CBM × IMPORT_COST_PARAMETERS!$B$4</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Insurance Cost:  </w:t>
            </w:r>
            <w:r>
              <w:rPr>
                <w:rFonts w:ascii="Courier New" w:hAnsi="Courier New"/>
                <w:color w:val="ECF0F1"/>
                <w:sz w:val="20"/>
              </w:rPr>
              <w:t>=FOB_USD × IMPORT_COST_PARAMETERS!$B$5</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CIF Value:  </w:t>
            </w:r>
            <w:r>
              <w:rPr>
                <w:rFonts w:ascii="Courier New" w:hAnsi="Courier New"/>
                <w:color w:val="ECF0F1"/>
                <w:sz w:val="20"/>
              </w:rPr>
              <w:t>=FOB + Freight + Insurance</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Import Duty:  </w:t>
            </w:r>
            <w:r>
              <w:rPr>
                <w:rFonts w:ascii="Courier New" w:hAnsi="Courier New"/>
                <w:color w:val="ECF0F1"/>
                <w:sz w:val="20"/>
              </w:rPr>
              <w:t>=CIF × IMPORT_COST_PARAMETERS!$B$6</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VAT:  </w:t>
            </w:r>
            <w:r>
              <w:rPr>
                <w:rFonts w:ascii="Courier New" w:hAnsi="Courier New"/>
                <w:color w:val="ECF0F1"/>
                <w:sz w:val="20"/>
              </w:rPr>
              <w:t>=(CIF + Duty) × IMPORT_COST_PARAMETERS!$B$7</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Port Handling:  </w:t>
            </w:r>
            <w:r>
              <w:rPr>
                <w:rFonts w:ascii="Courier New" w:hAnsi="Courier New"/>
                <w:color w:val="ECF0F1"/>
                <w:sz w:val="20"/>
              </w:rPr>
              <w:t>=Weight_kg × IMPORT_COST_PARAMETERS!$B$8</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Total Landed Cost:  </w:t>
            </w:r>
            <w:r>
              <w:rPr>
                <w:rFonts w:ascii="Courier New" w:hAnsi="Courier New"/>
                <w:color w:val="ECF0F1"/>
                <w:sz w:val="20"/>
              </w:rPr>
              <w:t>=FOB + Freight + Insurance + Duty + VAT + Port + Clearance_Alloc</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Sale Price:  </w:t>
            </w:r>
            <w:r>
              <w:rPr>
                <w:rFonts w:ascii="Courier New" w:hAnsi="Courier New"/>
                <w:color w:val="ECF0F1"/>
                <w:sz w:val="20"/>
              </w:rPr>
              <w:t>=Landed_Cost / (1 − IMPORT_COST_PARAMETERS!$B$10)</w:t>
            </w:r>
          </w:p>
        </w:tc>
      </w:tr>
    </w:tbl>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Most Expensive Product:  </w:t>
            </w:r>
            <w:r>
              <w:rPr>
                <w:rFonts w:ascii="Courier New" w:hAnsi="Courier New"/>
                <w:color w:val="ECF0F1"/>
                <w:sz w:val="20"/>
              </w:rPr>
              <w:t>=INDEX(Names, MATCH(MAX(LandedCosts), LandedCosts, 0))</w:t>
            </w:r>
          </w:p>
        </w:tc>
      </w:tr>
    </w:tbl>
    <w:p/>
    <w:p>
      <w:pPr>
        <w:spacing w:before="280" w:after="80"/>
        <w:shd w:val="clear" w:color="auto" w:fill="263C6F"/>
      </w:pPr>
      <w:r>
        <w:rPr>
          <w:rFonts w:ascii="Calibri" w:hAnsi="Calibri"/>
          <w:b/>
          <w:color w:val="FFFFFF"/>
          <w:sz w:val="24"/>
        </w:rPr>
        <w:t xml:space="preserve">  7. ADVANCED MODELING IMPROVEMENTS (V2 NEW FEATURES)  </w:t>
      </w:r>
    </w:p>
    <w:p>
      <w:pPr>
        <w:spacing w:before="160" w:after="40"/>
      </w:pPr>
      <w:r>
        <w:rPr>
          <w:rFonts w:ascii="Calibri" w:hAnsi="Calibri"/>
          <w:b/>
          <w:color w:val="3A6EC2"/>
          <w:sz w:val="22"/>
        </w:rPr>
        <w:t>▶  7.1 — Currency Conversion Layer (FX_RATES sheet)</w:t>
      </w:r>
    </w:p>
    <w:p>
      <w:pPr>
        <w:spacing w:before="40" w:after="80"/>
        <w:ind w:firstLine="0"/>
      </w:pPr>
      <w:r>
        <w:rPr>
          <w:rFonts w:ascii="Calibri" w:hAnsi="Calibri"/>
          <w:color w:val="2C3E50"/>
          <w:sz w:val="21"/>
        </w:rPr>
        <w:t>A dedicated FX_RATES sheet stores exchange rates for USD, EUR, AED, INR, GBP, and CAD. The PRODUCTS sheet uses VLOOKUP to look up the FOB currency per product and automatically convert the local FOB price to USD. This eliminates manual conversion errors and allows instant updates when exchange rates change — simply update the FX_RATES table.</w:t>
      </w:r>
    </w:p>
    <w:tbl>
      <w:tblPr>
        <w:tblStyle w:val="TableGrid"/>
        <w:tblW w:type="auto" w:w="0"/>
        <w:jc w:val="center"/>
        <w:tblLook w:firstColumn="1" w:firstRow="1" w:lastColumn="0" w:lastRow="0" w:noHBand="0" w:noVBand="1" w:val="04A0"/>
      </w:tblPr>
      <w:tblGrid>
        <w:gridCol w:w="3135"/>
        <w:gridCol w:w="3135"/>
        <w:gridCol w:w="3135"/>
      </w:tblGrid>
      <w:tr>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Currency</w:t>
            </w:r>
          </w:p>
        </w:tc>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Rate to USD</w:t>
            </w:r>
          </w:p>
        </w:tc>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Currency Name</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USD</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1.0000</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US Dollar</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1.0800</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Euro</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AED</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0.2722</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UAE Dirham</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INR</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0.0120</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Indian Rupee</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GBP</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1.2700</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British Pound</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CAD</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0.7400</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Canadian Dollar</w:t>
            </w:r>
          </w:p>
        </w:tc>
      </w:tr>
    </w:tbl>
    <w:p/>
    <w:p>
      <w:pPr>
        <w:spacing w:before="160" w:after="40"/>
      </w:pPr>
      <w:r>
        <w:rPr>
          <w:rFonts w:ascii="Calibri" w:hAnsi="Calibri"/>
          <w:b/>
          <w:color w:val="3A6EC2"/>
          <w:sz w:val="22"/>
        </w:rPr>
        <w:t>▶  7.2 — Shipment Cost Allocation (SHIPMENT_ASSUMPTIONS sheet)</w:t>
      </w:r>
    </w:p>
    <w:p>
      <w:pPr>
        <w:spacing w:before="40" w:after="80"/>
        <w:ind w:firstLine="0"/>
      </w:pPr>
      <w:r>
        <w:rPr>
          <w:rFonts w:ascii="Calibri" w:hAnsi="Calibri"/>
          <w:color w:val="2C3E50"/>
          <w:sz w:val="21"/>
        </w:rPr>
        <w:t>The SHIPMENT_ASSUMPTIONS sheet introduces two major improvements: (1) a global shipment parameters block defining total units per shipment and the fixed customs clearance cost; and (2) a multi-product allocation table that distributes the fixed clearance cost proportionally based on each product's share of the total shipment volume.</w:t>
      </w:r>
    </w:p>
    <w:tbl>
      <w:tblPr>
        <w:tblStyle w:val="TableGrid"/>
        <w:tblW w:type="auto" w:w="0"/>
        <w:jc w:val="center"/>
        <w:tblLook w:firstColumn="1" w:firstRow="1" w:lastColumn="0" w:lastRow="0" w:noHBand="0" w:noVBand="1" w:val="04A0"/>
      </w:tblPr>
      <w:tblGrid>
        <w:gridCol w:w="9406"/>
      </w:tblGrid>
      <w:tr>
        <w:trPr>
          <w:trHeight w:val="453" w:hRule="exact"/>
        </w:trPr>
        <w:tc>
          <w:tcPr>
            <w:tcW w:type="dxa" w:w="9406"/>
            <w:shd w:val="clear" w:color="auto" w:fill="1F2D54"/>
          </w:tcPr>
          <w:p>
            <w:pPr>
              <w:jc w:val="left"/>
            </w:pPr>
            <w:r>
              <w:rPr>
                <w:rFonts w:ascii="Calibri" w:hAnsi="Calibri"/>
                <w:b/>
                <w:color w:val="F4C542"/>
                <w:sz w:val="20"/>
              </w:rPr>
              <w:t xml:space="preserve">  📐 Clearance Cost per Unit:  </w:t>
            </w:r>
            <w:r>
              <w:rPr>
                <w:rFonts w:ascii="Courier New" w:hAnsi="Courier New"/>
                <w:color w:val="ECF0F1"/>
                <w:sz w:val="20"/>
              </w:rPr>
              <w:t>=(Clearance_Fixed × Shipment_Share%) / Units_per_Product</w:t>
            </w:r>
          </w:p>
        </w:tc>
      </w:tr>
    </w:tbl>
    <w:p/>
    <w:p>
      <w:pPr>
        <w:spacing w:before="40" w:after="80"/>
        <w:ind w:firstLine="0"/>
      </w:pPr>
      <w:r>
        <w:rPr>
          <w:rFonts w:ascii="Calibri" w:hAnsi="Calibri"/>
          <w:color w:val="2C3E50"/>
          <w:sz w:val="21"/>
        </w:rPr>
        <w:t>This ensures high-volume products absorb more of the fixed cost than low-volume ones, producing more accurate per-unit landed costs across the portfolio.</w:t>
      </w:r>
    </w:p>
    <w:p>
      <w:pPr>
        <w:spacing w:before="160" w:after="40"/>
      </w:pPr>
      <w:r>
        <w:rPr>
          <w:rFonts w:ascii="Calibri" w:hAnsi="Calibri"/>
          <w:b/>
          <w:color w:val="3A6EC2"/>
          <w:sz w:val="22"/>
        </w:rPr>
        <w:t>▶  7.3 — Scenario Analysis Capability (SCENARIO_ANALYSIS sheet)</w:t>
      </w:r>
    </w:p>
    <w:p>
      <w:pPr>
        <w:spacing w:before="40" w:after="80"/>
        <w:ind w:firstLine="0"/>
      </w:pPr>
      <w:r>
        <w:rPr>
          <w:rFonts w:ascii="Calibri" w:hAnsi="Calibri"/>
          <w:color w:val="2C3E50"/>
          <w:sz w:val="21"/>
        </w:rPr>
        <w:t>The SCENARIO_ANALYSIS sheet provides a structured what-if engine with three predefined scenarios:</w:t>
      </w:r>
    </w:p>
    <w:tbl>
      <w:tblPr>
        <w:tblStyle w:val="TableGrid"/>
        <w:tblW w:type="auto" w:w="0"/>
        <w:jc w:val="center"/>
        <w:tblLook w:firstColumn="1" w:firstRow="1" w:lastColumn="0" w:lastRow="0" w:noHBand="0" w:noVBand="1" w:val="04A0"/>
      </w:tblPr>
      <w:tblGrid>
        <w:gridCol w:w="2351"/>
        <w:gridCol w:w="2351"/>
        <w:gridCol w:w="2351"/>
        <w:gridCol w:w="2351"/>
      </w:tblGrid>
      <w:tr>
        <w:tc>
          <w:tcPr>
            <w:tcW w:type="dxa" w:w="2351"/>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Scenario</w:t>
            </w:r>
          </w:p>
        </w:tc>
        <w:tc>
          <w:tcPr>
            <w:tcW w:type="dxa" w:w="2351"/>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Freight Rate</w:t>
            </w:r>
          </w:p>
        </w:tc>
        <w:tc>
          <w:tcPr>
            <w:tcW w:type="dxa" w:w="2351"/>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Duty Rate</w:t>
            </w:r>
          </w:p>
        </w:tc>
        <w:tc>
          <w:tcPr>
            <w:tcW w:type="dxa" w:w="2351"/>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Description</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BASE SCENARIO</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$120/CBM</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Current market conditions</w:t>
            </w:r>
          </w:p>
        </w:tc>
      </w:tr>
      <w:tr>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HIGH FREIGHT SCENARIO</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$200/CBM</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Freight +67% — peak season / supply chain disruption</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HIGH DUTY SCENARIO</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$120/CBM</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20%</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Duty doubled — trade policy or regulatory change</w:t>
            </w:r>
          </w:p>
        </w:tc>
      </w:tr>
    </w:tbl>
    <w:p/>
    <w:p>
      <w:pPr>
        <w:spacing w:before="40" w:after="80"/>
        <w:ind w:firstLine="0"/>
      </w:pPr>
      <w:r>
        <w:rPr>
          <w:rFonts w:ascii="Calibri" w:hAnsi="Calibri"/>
          <w:color w:val="2C3E50"/>
          <w:sz w:val="21"/>
        </w:rPr>
        <w:t>Results are calculated for all 10 products across all three scenarios, with delta columns showing the impact on landed cost and sale price versus the base scenario. This enables procurement and pricing teams to make decisions based on forward-looking risk modeling.</w:t>
      </w:r>
    </w:p>
    <w:p>
      <w:pPr>
        <w:spacing w:before="160" w:after="40"/>
      </w:pPr>
      <w:r>
        <w:rPr>
          <w:rFonts w:ascii="Calibri" w:hAnsi="Calibri"/>
          <w:b/>
          <w:color w:val="3A6EC2"/>
          <w:sz w:val="22"/>
        </w:rPr>
        <w:t>▶  7.4 — Enhanced Dashboard (DASHBOARD sheet)</w:t>
      </w:r>
    </w:p>
    <w:p>
      <w:pPr>
        <w:spacing w:before="40" w:after="80"/>
        <w:ind w:firstLine="0"/>
      </w:pPr>
      <w:r>
        <w:rPr>
          <w:rFonts w:ascii="Calibri" w:hAnsi="Calibri"/>
          <w:color w:val="2C3E50"/>
          <w:sz w:val="21"/>
        </w:rPr>
        <w:t>The v2 Dashboard introduces five key upgrades: (1) Two rows of KPI cards covering 11 metrics including Most Expensive Product, Max/Min Landed Cost, and Top Margin Product; (2) Three professional charts — Landed Cost vs Sale Price, Cost Component Stacked Bar, and Gross Profit by Product; (3) A Top 3 Most Expensive Products panel; (4) An 8-tile Cost Drivers panel showing average per-component costs; and (5) A Scenario Impact strip comparing all three scenarios side-by-side.</w:t>
      </w:r>
    </w:p>
    <w:p>
      <w:pPr>
        <w:spacing w:before="280" w:after="80"/>
        <w:shd w:val="clear" w:color="auto" w:fill="1F2D54"/>
      </w:pPr>
      <w:r>
        <w:rPr>
          <w:rFonts w:ascii="Calibri" w:hAnsi="Calibri"/>
          <w:b/>
          <w:color w:val="FFFFFF"/>
          <w:sz w:val="24"/>
        </w:rPr>
        <w:t xml:space="preserve">  8. DASHBOARD EXPLANATION  </w:t>
      </w:r>
    </w:p>
    <w:tbl>
      <w:tblPr>
        <w:tblStyle w:val="TableGrid"/>
        <w:tblW w:type="auto" w:w="0"/>
        <w:jc w:val="center"/>
        <w:tblLook w:firstColumn="1" w:firstRow="1" w:lastColumn="0" w:lastRow="0" w:noHBand="0" w:noVBand="1" w:val="04A0"/>
      </w:tblPr>
      <w:tblGrid>
        <w:gridCol w:w="1881"/>
        <w:gridCol w:w="1881"/>
        <w:gridCol w:w="1881"/>
        <w:gridCol w:w="1881"/>
        <w:gridCol w:w="1881"/>
      </w:tblGrid>
      <w:tr>
        <w:trPr>
          <w:trHeight w:val="340" w:hRule="exact"/>
          <w:trHeight w:val="340" w:hRule="exact"/>
          <w:trHeight w:val="340" w:hRule="exact"/>
          <w:trHeight w:val="340" w:hRule="exact"/>
          <w:trHeight w:val="340" w:hRule="exact"/>
        </w:trPr>
        <w:tc>
          <w:tcPr>
            <w:tcW w:type="dxa" w:w="1881"/>
            <w:shd w:val="clear" w:color="auto" w:fill="1F2D54"/>
          </w:tcPr>
          <w:p>
            <w:pPr>
              <w:jc w:val="center"/>
            </w:pPr>
            <w:r>
              <w:rPr>
                <w:rFonts w:ascii="Calibri" w:hAnsi="Calibri"/>
                <w:b/>
                <w:color w:val="FFFFFF"/>
                <w:sz w:val="16"/>
              </w:rPr>
              <w:t>AVG LANDED COST</w:t>
            </w:r>
          </w:p>
        </w:tc>
        <w:tc>
          <w:tcPr>
            <w:tcW w:type="dxa" w:w="1881"/>
            <w:shd w:val="clear" w:color="auto" w:fill="27AE60"/>
          </w:tcPr>
          <w:p>
            <w:pPr>
              <w:jc w:val="center"/>
            </w:pPr>
            <w:r>
              <w:rPr>
                <w:rFonts w:ascii="Calibri" w:hAnsi="Calibri"/>
                <w:b/>
                <w:color w:val="FFFFFF"/>
                <w:sz w:val="16"/>
              </w:rPr>
              <w:t>AVG SALE PRICE</w:t>
            </w:r>
          </w:p>
        </w:tc>
        <w:tc>
          <w:tcPr>
            <w:tcW w:type="dxa" w:w="1881"/>
            <w:shd w:val="clear" w:color="auto" w:fill="3A6EC2"/>
          </w:tcPr>
          <w:p>
            <w:pPr>
              <w:jc w:val="center"/>
            </w:pPr>
            <w:r>
              <w:rPr>
                <w:rFonts w:ascii="Calibri" w:hAnsi="Calibri"/>
                <w:b/>
                <w:color w:val="FFFFFF"/>
                <w:sz w:val="16"/>
              </w:rPr>
              <w:t>TARGET MARGIN</w:t>
            </w:r>
          </w:p>
        </w:tc>
        <w:tc>
          <w:tcPr>
            <w:tcW w:type="dxa" w:w="1881"/>
            <w:shd w:val="clear" w:color="auto" w:fill="2E4272"/>
          </w:tcPr>
          <w:p>
            <w:pPr>
              <w:jc w:val="center"/>
            </w:pPr>
            <w:r>
              <w:rPr>
                <w:rFonts w:ascii="Calibri" w:hAnsi="Calibri"/>
                <w:b/>
                <w:color w:val="FFFFFF"/>
                <w:sz w:val="16"/>
              </w:rPr>
              <w:t>TOTAL PRODUCTS</w:t>
            </w:r>
          </w:p>
        </w:tc>
        <w:tc>
          <w:tcPr>
            <w:tcW w:type="dxa" w:w="1881"/>
            <w:shd w:val="clear" w:color="auto" w:fill="E67E22"/>
          </w:tcPr>
          <w:p>
            <w:pPr>
              <w:jc w:val="center"/>
            </w:pPr>
            <w:r>
              <w:rPr>
                <w:rFonts w:ascii="Calibri" w:hAnsi="Calibri"/>
                <w:b/>
                <w:color w:val="FFFFFF"/>
                <w:sz w:val="16"/>
              </w:rPr>
              <w:t>TOTAL LANDED</w:t>
            </w:r>
          </w:p>
        </w:tc>
      </w:tr>
      <w:tr>
        <w:trPr>
          <w:trHeight w:val="567" w:hRule="exact"/>
          <w:trHeight w:val="567" w:hRule="exact"/>
          <w:trHeight w:val="567" w:hRule="exact"/>
          <w:trHeight w:val="567" w:hRule="exact"/>
          <w:trHeight w:val="567" w:hRule="exact"/>
        </w:trPr>
        <w:tc>
          <w:tcPr>
            <w:tcW w:type="dxa" w:w="1881"/>
            <w:shd w:val="clear" w:color="auto" w:fill="1F2D54"/>
          </w:tcPr>
          <w:p>
            <w:pPr>
              <w:jc w:val="center"/>
            </w:pPr>
            <w:r>
              <w:rPr>
                <w:rFonts w:ascii="Calibri" w:hAnsi="Calibri"/>
                <w:b/>
                <w:color w:val="FFFFFF"/>
                <w:sz w:val="28"/>
              </w:rPr>
              <w:t>$4.03</w:t>
            </w:r>
          </w:p>
        </w:tc>
        <w:tc>
          <w:tcPr>
            <w:tcW w:type="dxa" w:w="1881"/>
            <w:shd w:val="clear" w:color="auto" w:fill="27AE60"/>
          </w:tcPr>
          <w:p>
            <w:pPr>
              <w:jc w:val="center"/>
            </w:pPr>
            <w:r>
              <w:rPr>
                <w:rFonts w:ascii="Calibri" w:hAnsi="Calibri"/>
                <w:b/>
                <w:color w:val="FFFFFF"/>
                <w:sz w:val="28"/>
              </w:rPr>
              <w:t>$7.33</w:t>
            </w:r>
          </w:p>
        </w:tc>
        <w:tc>
          <w:tcPr>
            <w:tcW w:type="dxa" w:w="1881"/>
            <w:shd w:val="clear" w:color="auto" w:fill="3A6EC2"/>
          </w:tcPr>
          <w:p>
            <w:pPr>
              <w:jc w:val="center"/>
            </w:pPr>
            <w:r>
              <w:rPr>
                <w:rFonts w:ascii="Calibri" w:hAnsi="Calibri"/>
                <w:b/>
                <w:color w:val="FFFFFF"/>
                <w:sz w:val="28"/>
              </w:rPr>
              <w:t>45%</w:t>
            </w:r>
          </w:p>
        </w:tc>
        <w:tc>
          <w:tcPr>
            <w:tcW w:type="dxa" w:w="1881"/>
            <w:shd w:val="clear" w:color="auto" w:fill="2E4272"/>
          </w:tcPr>
          <w:p>
            <w:pPr>
              <w:jc w:val="center"/>
            </w:pPr>
            <w:r>
              <w:rPr>
                <w:rFonts w:ascii="Calibri" w:hAnsi="Calibri"/>
                <w:b/>
                <w:color w:val="FFFFFF"/>
                <w:sz w:val="28"/>
              </w:rPr>
              <w:t>10</w:t>
            </w:r>
          </w:p>
        </w:tc>
        <w:tc>
          <w:tcPr>
            <w:tcW w:type="dxa" w:w="1881"/>
            <w:shd w:val="clear" w:color="auto" w:fill="E67E22"/>
          </w:tcPr>
          <w:p>
            <w:pPr>
              <w:jc w:val="center"/>
            </w:pPr>
            <w:r>
              <w:rPr>
                <w:rFonts w:ascii="Calibri" w:hAnsi="Calibri"/>
                <w:b/>
                <w:color w:val="FFFFFF"/>
                <w:sz w:val="28"/>
              </w:rPr>
              <w:t>$40.33</w:t>
            </w:r>
          </w:p>
        </w:tc>
      </w:tr>
    </w:tbl>
    <w:p/>
    <w:p>
      <w:pPr>
        <w:spacing w:before="40" w:after="80"/>
        <w:ind w:firstLine="0"/>
      </w:pPr>
      <w:r>
        <w:rPr>
          <w:rFonts w:ascii="Calibri" w:hAnsi="Calibri"/>
          <w:color w:val="2C3E50"/>
          <w:sz w:val="21"/>
        </w:rPr>
        <w:t>KPI Row 1 shows the core performance metrics: average landed cost, average sale price, target margin, total product count, and total portfolio landed cost. Row 2 highlights the most and least expensive products, top-margin product, and min/max ranges — all calculated dynamically via INDEX/MATCH and LARGE/SMALL functions.</w:t>
      </w:r>
    </w:p>
    <w:p>
      <w:pPr>
        <w:spacing w:before="160" w:after="40"/>
      </w:pPr>
      <w:r>
        <w:rPr>
          <w:rFonts w:ascii="Calibri" w:hAnsi="Calibri"/>
          <w:b/>
          <w:color w:val="1F2D54"/>
          <w:sz w:val="22"/>
        </w:rPr>
        <w:t>▶  Chart 1 — Landed Cost vs Sale Price (Clustered Bar)</w:t>
      </w:r>
    </w:p>
    <w:p>
      <w:pPr>
        <w:spacing w:before="40" w:after="80"/>
        <w:ind w:firstLine="0"/>
      </w:pPr>
      <w:r>
        <w:rPr>
          <w:rFonts w:ascii="Calibri" w:hAnsi="Calibri"/>
          <w:color w:val="2C3E50"/>
          <w:sz w:val="21"/>
        </w:rPr>
        <w:t>Visualises the margin gap between landed cost and sale price for each product. The gap represents gross profit. Organic Olive Oil shows the widest absolute gap, while Mineral Water shows the smallest.</w:t>
      </w:r>
    </w:p>
    <w:p>
      <w:pPr>
        <w:spacing w:before="160" w:after="40"/>
      </w:pPr>
      <w:r>
        <w:rPr>
          <w:rFonts w:ascii="Calibri" w:hAnsi="Calibri"/>
          <w:b/>
          <w:color w:val="1F2D54"/>
          <w:sz w:val="22"/>
        </w:rPr>
        <w:t>▶  Chart 2 — Cost Component Breakdown (Stacked Bar)</w:t>
      </w:r>
    </w:p>
    <w:p>
      <w:pPr>
        <w:spacing w:before="40" w:after="80"/>
        <w:ind w:firstLine="0"/>
      </w:pPr>
      <w:r>
        <w:rPr>
          <w:rFonts w:ascii="Calibri" w:hAnsi="Calibri"/>
          <w:color w:val="2C3E50"/>
          <w:sz w:val="21"/>
        </w:rPr>
        <w:t>Shows how individual cost drivers (FOB, Freight, Insurance, Duty, VAT, Port, Clearance) stack up to form the total landed cost per product. VAT is consistently the largest import-related cost driver at 21% of CIF+Duty.</w:t>
      </w:r>
    </w:p>
    <w:p>
      <w:pPr>
        <w:spacing w:before="160" w:after="40"/>
      </w:pPr>
      <w:r>
        <w:rPr>
          <w:rFonts w:ascii="Calibri" w:hAnsi="Calibri"/>
          <w:b/>
          <w:color w:val="1F2D54"/>
          <w:sz w:val="22"/>
        </w:rPr>
        <w:t>▶  Chart 3 — Gross Profit per Product (Column Chart)</w:t>
      </w:r>
    </w:p>
    <w:p>
      <w:pPr>
        <w:spacing w:before="40" w:after="80"/>
        <w:ind w:firstLine="0"/>
      </w:pPr>
      <w:r>
        <w:rPr>
          <w:rFonts w:ascii="Calibri" w:hAnsi="Calibri"/>
          <w:color w:val="2C3E50"/>
          <w:sz w:val="21"/>
        </w:rPr>
        <w:t>Displays the absolute gross profit generated per unit for each product at the 45% target margin. Organic Olive Oil generates the highest gross profit ($7.13/unit).</w:t>
      </w:r>
    </w:p>
    <w:p>
      <w:pPr>
        <w:spacing w:before="280" w:after="80"/>
        <w:shd w:val="clear" w:color="auto" w:fill="1F2D54"/>
      </w:pPr>
      <w:r>
        <w:rPr>
          <w:rFonts w:ascii="Calibri" w:hAnsi="Calibri"/>
          <w:b/>
          <w:color w:val="FFFFFF"/>
          <w:sz w:val="24"/>
        </w:rPr>
        <w:t xml:space="preserve">  9. BUSINESS IMPACT  </w:t>
      </w:r>
    </w:p>
    <w:tbl>
      <w:tblPr>
        <w:tblStyle w:val="TableGrid"/>
        <w:tblW w:type="auto" w:w="0"/>
        <w:jc w:val="center"/>
        <w:tblLook w:firstColumn="1" w:firstRow="1" w:lastColumn="0" w:lastRow="0" w:noHBand="0" w:noVBand="1" w:val="04A0"/>
      </w:tblPr>
      <w:tblGrid>
        <w:gridCol w:w="2351"/>
        <w:gridCol w:w="2351"/>
        <w:gridCol w:w="2351"/>
        <w:gridCol w:w="2351"/>
      </w:tblGrid>
      <w:tr>
        <w:tc>
          <w:tcPr>
            <w:tcW w:type="dxa" w:w="2351"/>
            <w:shd w:val="clear" w:color="auto" w:fill="1F2D54"/>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Metric</w:t>
            </w:r>
          </w:p>
        </w:tc>
        <w:tc>
          <w:tcPr>
            <w:tcW w:type="dxa" w:w="2351"/>
            <w:shd w:val="clear" w:color="auto" w:fill="1F2D54"/>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Before</w:t>
            </w:r>
          </w:p>
        </w:tc>
        <w:tc>
          <w:tcPr>
            <w:tcW w:type="dxa" w:w="2351"/>
            <w:shd w:val="clear" w:color="auto" w:fill="1F2D54"/>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After v2</w:t>
            </w:r>
          </w:p>
        </w:tc>
        <w:tc>
          <w:tcPr>
            <w:tcW w:type="dxa" w:w="2351"/>
            <w:shd w:val="clear" w:color="auto" w:fill="1F2D54"/>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Improvement</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Calculation Speed</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30–60 min / product</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&lt; 1 second</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3,600× faster</w:t>
            </w:r>
          </w:p>
        </w:tc>
      </w:tr>
      <w:tr>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Currency Handling</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Manual conversion</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Automatic FX lookup</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Zero conversion errors</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Cost Allocation</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Fixed cost ignored</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Proportional per-unit allocation</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Accurate margins</w:t>
            </w:r>
          </w:p>
        </w:tc>
      </w:tr>
      <w:tr>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Scenario Planning</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No capability</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 scenarios × 10 products</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Risk-informed decisions</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Rate Updates</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Full manual rebuild</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Single parameter cell</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Instant propagation</w:t>
            </w:r>
          </w:p>
        </w:tc>
      </w:tr>
      <w:tr>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Dashboard</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Basic KPIs</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 charts + 11 KPIs + Top 3</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Executive-ready</w:t>
            </w:r>
          </w:p>
        </w:tc>
      </w:tr>
    </w:tbl>
    <w:p/>
    <w:p>
      <w:pPr>
        <w:spacing w:before="280" w:after="80"/>
        <w:shd w:val="clear" w:color="auto" w:fill="1F2D54"/>
      </w:pPr>
      <w:r>
        <w:rPr>
          <w:rFonts w:ascii="Calibri" w:hAnsi="Calibri"/>
          <w:b/>
          <w:color w:val="FFFFFF"/>
          <w:sz w:val="24"/>
        </w:rPr>
        <w:t xml:space="preserve">  10. POTENTIAL FUTURE IMPROVEMENTS  </w:t>
      </w:r>
    </w:p>
    <w:p>
      <w:pPr>
        <w:pStyle w:val="ListBullet"/>
        <w:spacing w:before="20" w:after="20"/>
      </w:pPr>
      <w:r>
        <w:rPr>
          <w:rFonts w:ascii="Calibri" w:hAnsi="Calibri"/>
          <w:color w:val="2C3E50"/>
          <w:sz w:val="21"/>
        </w:rPr>
        <w:t>Power Query integration for automatic data refresh from ERP/supplier feeds</w:t>
      </w:r>
    </w:p>
    <w:p>
      <w:pPr>
        <w:pStyle w:val="ListBullet"/>
        <w:spacing w:before="20" w:after="20"/>
      </w:pPr>
      <w:r>
        <w:rPr>
          <w:rFonts w:ascii="Calibri" w:hAnsi="Calibri"/>
          <w:color w:val="2C3E50"/>
          <w:sz w:val="21"/>
        </w:rPr>
        <w:t>HS Code lookup table for country-specific duty rates per product category</w:t>
      </w:r>
    </w:p>
    <w:p>
      <w:pPr>
        <w:pStyle w:val="ListBullet"/>
        <w:spacing w:before="20" w:after="20"/>
      </w:pPr>
      <w:r>
        <w:rPr>
          <w:rFonts w:ascii="Calibri" w:hAnsi="Calibri"/>
          <w:color w:val="2C3E50"/>
          <w:sz w:val="21"/>
        </w:rPr>
        <w:t>VBA/Macro layer for one-click PDF export and automated email reporting</w:t>
      </w:r>
    </w:p>
    <w:p>
      <w:pPr>
        <w:pStyle w:val="ListBullet"/>
        <w:spacing w:before="20" w:after="20"/>
      </w:pPr>
      <w:r>
        <w:rPr>
          <w:rFonts w:ascii="Calibri" w:hAnsi="Calibri"/>
          <w:color w:val="2C3E50"/>
          <w:sz w:val="21"/>
        </w:rPr>
        <w:t>Supplier performance tracking module with FOB price trend analysis</w:t>
      </w:r>
    </w:p>
    <w:p>
      <w:pPr>
        <w:pStyle w:val="ListBullet"/>
        <w:spacing w:before="20" w:after="20"/>
      </w:pPr>
      <w:r>
        <w:rPr>
          <w:rFonts w:ascii="Calibri" w:hAnsi="Calibri"/>
          <w:color w:val="2C3E50"/>
          <w:sz w:val="21"/>
        </w:rPr>
        <w:t>Dynamic named ranges with OFFSET/INDIRECT for unlimited product scaling</w:t>
      </w:r>
    </w:p>
    <w:p>
      <w:pPr>
        <w:pStyle w:val="ListBullet"/>
        <w:spacing w:before="20" w:after="20"/>
      </w:pPr>
      <w:r>
        <w:rPr>
          <w:rFonts w:ascii="Calibri" w:hAnsi="Calibri"/>
          <w:color w:val="2C3E50"/>
          <w:sz w:val="21"/>
        </w:rPr>
        <w:t>Power BI connection for executive-level interactive reporting</w:t>
      </w:r>
    </w:p>
    <w:p>
      <w:pPr>
        <w:pStyle w:val="ListBullet"/>
        <w:spacing w:before="20" w:after="20"/>
      </w:pPr>
      <w:r>
        <w:rPr>
          <w:rFonts w:ascii="Calibri" w:hAnsi="Calibri"/>
          <w:color w:val="2C3E50"/>
          <w:sz w:val="21"/>
        </w:rPr>
        <w:t>Landed cost comparison vs competitor pricing intelligence layer</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2C3E50"/>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